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 w:rsidR="00A77B3E">
      <w:pPr>
        <w:jc w:val="center"/>
      </w:pPr>
      <w:r>
        <w:drawing>
          <wp:inline>
            <wp:extent cx="2921000" cy="8763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jc w:val="center"/>
      </w:pPr>
    </w:p>
    <w:p w:rsidR="00A77B3E">
      <w:pPr>
        <w:pStyle w:val="Title"/>
        <w:jc w:val="center"/>
        <w:rPr>
          <w:color w:val="1B2A4A"/>
        </w:rPr>
      </w:pPr>
      <w:r>
        <w:rPr>
          <w:color w:val="1B2A4A"/>
        </w:rPr>
        <w:t>Project Proposal</w:t>
      </w:r>
    </w:p>
    <w:p>
      <w:pPr>
        <w:spacing w:after="200"/>
        <w:jc w:val="center"/>
      </w:pPr>
      <w:r>
        <mc:AlternateContent>
          <mc:Choice Requires="wps">
            <w:drawing>
              <wp:inline>
                <wp:extent cx="1143000" cy="38100"/>
                <wp:effectExtent l="0" t="0" r="19050" b="19050"/>
                <wp:docPr id="100004" name="Rectangle 1000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38100"/>
                        </a:xfrm>
                        <a:prstGeom prst="rect">
                          <a:avLst/>
                        </a:prstGeom>
                        <a:solidFill>
                          <a:srgbClr val="E8A3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0004" o:spid="_x0000_i1025" style="width:90pt;height:3pt;v-text-anchor:middle" fillcolor="#e8a33d" stroked="f" strokecolor="#385d8a" strokeweight="2pt">
                <w10:anchorlock/>
              </v:rect>
            </w:pict>
          </mc:Fallback>
        </mc:AlternateContent>
      </w:r>
    </w:p>
    <w:p>
      <w:pPr>
        <w:pStyle w:val="Subtitle"/>
        <w:spacing w:after="200"/>
        <w:jc w:val="center"/>
      </w:pPr>
      <w:r>
        <w:t>Prepared for Northwind Coffee Roasters</w:t>
      </w:r>
    </w:p>
    <w:p>
      <w:pPr>
        <w:spacing w:after="200"/>
        <w:jc w:val="center"/>
        <w:rPr>
          <w:color w:val="5B6472"/>
        </w:rPr>
      </w:pPr>
      <w:r>
        <w:rPr>
          <w:color w:val="5B6472"/>
        </w:rPr>
        <w:t>Photography · Brand Design · Motion   ·   2026</w:t>
      </w:r>
    </w:p>
    <w:p>
      <w:pPr>
        <w:spacing w:after="200"/>
        <w:jc w:val="center"/>
        <w:rPr>
          <w:color w:val="5B6472"/>
        </w:rPr>
      </w:pPr>
      <w:r>
        <w:rPr>
          <w:color w:val="5B6472"/>
        </w:rPr>
        <w:t>Prepared by Mara Lindqvist, Creative Director</w:t>
      </w:r>
    </w:p>
    <w:p>
      <w:pPr>
        <w:spacing w:after="200"/>
        <w:jc w:val="center"/>
      </w:pPr>
    </w:p>
    <w:p>
      <w:pPr>
        <w:pStyle w:val="Heading1"/>
        <w:spacing w:after="200"/>
        <w:jc w:val="left"/>
        <w:rPr>
          <w:color w:val="1B2A4A"/>
        </w:rPr>
      </w:pPr>
      <w:r>
        <w:drawing>
          <wp:inline>
            <wp:extent cx="5842000" cy="36449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r>
        <w:rPr>
          <w:color w:val="1B2A4A"/>
        </w:rPr>
        <w:t>1. Overview</w:t>
      </w:r>
    </w:p>
    <w:p>
      <w:pPr>
        <w:spacing w:after="200"/>
        <w:jc w:val="left"/>
      </w:pPr>
      <w:r>
        <w:t>Aurora Visuals is a full-service creative studio specialising in photography, brand design, and motion. This proposal outlines the scope, schedule, and investment for a refreshed visual identity and launch campaign.</w:t>
      </w:r>
    </w:p>
    <w:p>
      <w:pPr>
        <w:numPr>
          <w:ilvl w:val="0"/>
          <w:numId w:val="1"/>
        </w:numPr>
        <w:spacing w:after="200"/>
        <w:jc w:val="left"/>
      </w:pPr>
      <w:r>
        <w:t>Full-service studio: photography, brand identity, and motion under one roof.</w:t>
      </w:r>
    </w:p>
    <w:p>
      <w:pPr>
        <w:numPr>
          <w:ilvl w:val="0"/>
          <w:numId w:val="1"/>
        </w:numPr>
        <w:spacing w:after="200"/>
        <w:jc w:val="left"/>
      </w:pPr>
      <w:r>
        <w:t>Senior creative leads on every engagement — no hand-offs to juniors.</w:t>
      </w:r>
    </w:p>
    <w:p>
      <w:pPr>
        <w:numPr>
          <w:ilvl w:val="0"/>
          <w:numId w:val="1"/>
        </w:numPr>
        <w:spacing w:after="200"/>
        <w:jc w:val="left"/>
      </w:pPr>
      <w:r>
        <w:t>Licensed, watermark-protected delivery so client assets stay controlled.</w:t>
      </w:r>
    </w:p>
    <w:p>
      <w:pPr>
        <w:numPr>
          <w:ilvl w:val="0"/>
          <w:numId w:val="1"/>
        </w:numPr>
        <w:spacing w:after="200"/>
        <w:jc w:val="left"/>
      </w:pPr>
      <w:r>
        <w:t>Average 12-day turnaround from brief to final delivery.</w:t>
      </w:r>
    </w:p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2. Services</w:t>
      </w:r>
    </w:p>
    <w:p>
      <w:pPr>
        <w:numPr>
          <w:ilvl w:val="0"/>
          <w:numId w:val="0"/>
        </w:numPr>
        <w:spacing w:after="200"/>
        <w:jc w:val="left"/>
      </w:pPr>
      <w:r>
        <w:t>The engagement draws on the following studio services. Rates are fixed for the duration of the project.</w:t>
      </w:r>
    </w:p>
    <w:tbl>
      <w:tblPr>
        <w:tblW w:w="5000" w:type="pct"/>
        <w:tblInd w:w="0" w:type="dxa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  <w:tblCellMar>
          <w:left w:w="108" w:type="dxa"/>
          <w:right w:w="108" w:type="dxa"/>
        </w:tblCellMar>
      </w:tblPr>
      <w:tblGrid>
        <w:gridCol w:w="1720"/>
        <w:gridCol w:w="4520"/>
        <w:gridCol w:w="1961"/>
        <w:gridCol w:w="1130"/>
      </w:tblGrid>
      <w:tr>
        <w:tblPrEx>
          <w:tblW w:w="5000" w:type="pct"/>
          <w:tblInd w:w="0" w:type="dxa"/>
        </w:tblPrEx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SKU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Service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Category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rPr>
                <w:b/>
                <w:color w:val="FFFFFF"/>
              </w:rPr>
              <w:t>Rate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AV-PH-01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Studio photography (half day)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Photography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$1,200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AV-PH-02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On-location photography (full day)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Photography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$2,600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AV-BR-01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identity system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Design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$8,500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AV-BR-02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Pitch &amp; sales deck design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Design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$3,400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AV-MO-01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Social motion pack (10 clips)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Motion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$4,200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AV-MO-02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film (60s)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Motion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$9,800</w:t>
            </w:r>
          </w:p>
        </w:tc>
      </w:tr>
    </w:tbl>
    <w:p>
      <w:pPr>
        <w:numPr>
          <w:ilvl w:val="0"/>
          <w:numId w:val="0"/>
        </w:numPr>
        <w:spacing w:after="200"/>
        <w:jc w:val="left"/>
      </w:pPr>
    </w:p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3. Timeline</w:t>
      </w:r>
    </w:p>
    <w:p>
      <w:pPr>
        <w:numPr>
          <w:ilvl w:val="0"/>
          <w:numId w:val="2"/>
        </w:numPr>
        <w:spacing w:after="200"/>
        <w:jc w:val="left"/>
      </w:pPr>
      <w:r>
        <w:t>Week 1 — Discovery workshop and creative brief.</w:t>
      </w:r>
    </w:p>
    <w:p>
      <w:pPr>
        <w:numPr>
          <w:ilvl w:val="0"/>
          <w:numId w:val="2"/>
        </w:numPr>
        <w:spacing w:after="200"/>
        <w:jc w:val="left"/>
      </w:pPr>
      <w:r>
        <w:t>Week 2 — Studio and on-location photography.</w:t>
      </w:r>
    </w:p>
    <w:p>
      <w:pPr>
        <w:numPr>
          <w:ilvl w:val="0"/>
          <w:numId w:val="2"/>
        </w:numPr>
        <w:spacing w:after="200"/>
        <w:jc w:val="left"/>
      </w:pPr>
      <w:r>
        <w:t>Week 3 — Brand system and pitch-deck design.</w:t>
      </w:r>
    </w:p>
    <w:p>
      <w:pPr>
        <w:numPr>
          <w:ilvl w:val="0"/>
          <w:numId w:val="2"/>
        </w:numPr>
        <w:spacing w:after="200"/>
        <w:jc w:val="left"/>
      </w:pPr>
      <w:r>
        <w:t>Week 4 — Motion pack production.</w:t>
      </w:r>
    </w:p>
    <w:p>
      <w:pPr>
        <w:numPr>
          <w:ilvl w:val="0"/>
          <w:numId w:val="2"/>
        </w:numPr>
        <w:spacing w:after="200"/>
        <w:jc w:val="left"/>
      </w:pPr>
      <w:r>
        <w:t>Week 5 — Review, revisions, and watermark-protected delivery.</w:t>
      </w:r>
    </w:p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4. Investment</w:t>
      </w:r>
    </w:p>
    <w:p>
      <w:pPr>
        <w:numPr>
          <w:ilvl w:val="0"/>
          <w:numId w:val="0"/>
        </w:numPr>
        <w:spacing w:after="200"/>
        <w:jc w:val="left"/>
      </w:pPr>
      <w:r>
        <w:t>A summary of the fixed-fee investment by phase:</w:t>
      </w:r>
    </w:p>
    <w:tbl>
      <w:tblPr>
        <w:tblW w:w="5000" w:type="pct"/>
        <w:tblInd w:w="0" w:type="dxa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  <w:tblCellMar>
          <w:left w:w="108" w:type="dxa"/>
          <w:right w:w="108" w:type="dxa"/>
        </w:tblCellMar>
      </w:tblPr>
      <w:tblGrid>
        <w:gridCol w:w="2571"/>
        <w:gridCol w:w="5022"/>
        <w:gridCol w:w="1737"/>
      </w:tblGrid>
      <w:tr>
        <w:tblPrEx>
          <w:tblW w:w="5000" w:type="pct"/>
          <w:tblInd w:w="0" w:type="dxa"/>
        </w:tblPrEx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Phase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Deliverable</w:t>
            </w:r>
          </w:p>
        </w:tc>
        <w:tc>
          <w:tcPr>
            <w:shd w:val="clear" w:color="auto" w:fill="1B2A4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rPr>
                <w:b/>
                <w:color w:val="FFFFFF"/>
              </w:rPr>
              <w:t>Fee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Photography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Studio + on-location shoot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$3,800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Brand design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Identity system + pitch deck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$11,900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Motion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Social pack + brand film</w:t>
            </w:r>
          </w:p>
        </w:tc>
        <w:tc>
          <w:tcPr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$14,000</w:t>
            </w:r>
          </w:p>
        </w:tc>
      </w:tr>
      <w:tr>
        <w:tblPrEx>
          <w:tblW w:w="5000" w:type="pct"/>
          <w:tblInd w:w="0" w:type="dxa"/>
        </w:tblPrEx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Total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Fixed project fee</w:t>
            </w:r>
          </w:p>
        </w:tc>
        <w:tc>
          <w:tcPr>
            <w:shd w:val="clear" w:color="auto" w:fill="F4F6FA"/>
            <w:vAlign w:val="center"/>
          </w:tcPr>
          <w:p>
            <w:pPr>
              <w:numPr>
                <w:ilvl w:val="0"/>
                <w:numId w:val="0"/>
              </w:numPr>
              <w:spacing w:after="200"/>
              <w:jc w:val="left"/>
            </w:pPr>
            <w:r>
              <w:t>$29,700</w:t>
            </w:r>
          </w:p>
        </w:tc>
      </w:tr>
    </w:tbl>
    <w:p>
      <w:pPr>
        <w:pStyle w:val="Heading1"/>
        <w:numPr>
          <w:ilvl w:val="0"/>
          <w:numId w:val="0"/>
        </w:numPr>
        <w:spacing w:after="200"/>
        <w:jc w:val="left"/>
        <w:rPr>
          <w:color w:val="1B2A4A"/>
        </w:rPr>
      </w:pPr>
      <w:r>
        <w:rPr>
          <w:color w:val="1B2A4A"/>
        </w:rPr>
        <w:t>5. Terms &amp; Resources</w:t>
      </w:r>
    </w:p>
    <w:p>
      <w:pPr>
        <w:numPr>
          <w:ilvl w:val="0"/>
          <w:numId w:val="0"/>
        </w:numPr>
        <w:spacing w:after="200"/>
        <w:jc w:val="left"/>
      </w:pPr>
      <w:r>
        <w:t>Full terms, licensing, and the studio portfolio are available online:</w:t>
      </w:r>
    </w:p>
    <w:p>
      <w:pPr>
        <w:numPr>
          <w:ilvl w:val="0"/>
          <w:numId w:val="0"/>
        </w:numPr>
        <w:spacing w:after="200"/>
        <w:jc w:val="left"/>
      </w:pPr>
      <w:r>
        <w:t xml:space="preserve">· </w:t>
      </w:r>
      <w:hyperlink r:id="rId6" w:history="1">
        <w:r>
          <w:rPr>
            <w:color w:val="3B7DD8"/>
            <w:u w:val="single"/>
          </w:rPr>
          <w:t>Master services agreement</w:t>
        </w:r>
      </w:hyperlink>
    </w:p>
    <w:p>
      <w:pPr>
        <w:numPr>
          <w:ilvl w:val="0"/>
          <w:numId w:val="0"/>
        </w:numPr>
        <w:spacing w:after="200"/>
        <w:jc w:val="left"/>
      </w:pPr>
      <w:r>
        <w:t xml:space="preserve">· </w:t>
      </w:r>
      <w:hyperlink r:id="rId7" w:history="1">
        <w:r>
          <w:rPr>
            <w:color w:val="3B7DD8"/>
            <w:u w:val="single"/>
          </w:rPr>
          <w:t>Asset licensing &amp; watermark policy</w:t>
        </w:r>
      </w:hyperlink>
    </w:p>
    <w:p>
      <w:pPr>
        <w:numPr>
          <w:ilvl w:val="0"/>
          <w:numId w:val="0"/>
        </w:numPr>
        <w:spacing w:after="200"/>
        <w:jc w:val="left"/>
      </w:pPr>
      <w:r>
        <w:t xml:space="preserve">· </w:t>
      </w:r>
      <w:hyperlink r:id="rId8" w:history="1">
        <w:r>
          <w:rPr>
            <w:color w:val="3B7DD8"/>
            <w:u w:val="single"/>
          </w:rPr>
          <w:t>Studio portfolio</w:t>
        </w:r>
      </w:hyperlink>
    </w:p>
    <w:p>
      <w:pPr>
        <w:numPr>
          <w:ilvl w:val="0"/>
          <w:numId w:val="0"/>
        </w:numPr>
        <w:spacing w:after="200"/>
        <w:jc w:val="left"/>
      </w:pPr>
    </w:p>
    <w:sectPr>
      <w:headerReference w:type="default" r:id="rId9"/>
      <w:footerReference w:type="default" r:id="rId10"/>
      <w:pgSz w:w="12240" w:h="15840"/>
      <w:pgMar w:top="1120" w:right="1440" w:bottom="11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5B6472"/>
        <w:sz w:val="16"/>
      </w:rPr>
    </w:pPr>
    <w:r>
      <w:rPr>
        <w:color w:val="5B6472"/>
        <w:sz w:val="16"/>
      </w:rPr>
      <w:t>Aurora Visuals   ·   auroravisuals.example   ·   Confidential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450pt;height:135pt;margin-top:328.5pt;margin-left:81pt;mso-position-horizontal-relative:page;mso-position-vertical-relative:page;position:absolute;z-index:251658240" stroked="f">
          <v:imagedata r:id="rId1" o:title=""/>
          <v:path strokeok="f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yperlink" Target="https://auroravisuals.example/legal/msa" TargetMode="External" /><Relationship Id="rId7" Type="http://schemas.openxmlformats.org/officeDocument/2006/relationships/hyperlink" Target="https://auroravisuals.example/legal/licensing" TargetMode="External" /><Relationship Id="rId8" Type="http://schemas.openxmlformats.org/officeDocument/2006/relationships/hyperlink" Target="https://auroravisuals.example/portfolio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Visuals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Aurora Visuals — Project Proposal</dc:title>
  <dc:subject>Client Project Proposal</dc:subject>
  <dc:creator>Aurora Visuals</dc:creator>
  <cp:keywords>proposal, photography, brand design, motion</cp:keywords>
  <cp:revision>1</cp:revision>
</cp:coreProperties>
</file>