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10.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31 August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145,000 USD, payable in three instalments.</w:t>
      </w:r>
    </w:p>
    <w:p>
      <w:pPr>
        <w:numPr>
          <w:ilvl w:val="0"/>
          <w:numId w:val="0"/>
        </w:numPr>
        <w:jc w:val="left"/>
      </w:pPr>
      <w:r>
        <w:t>Invoices are issued on milestone acceptance and are payable within thirty days. Expenses are billed at cost and require prior written approval.</w:t>
      </w:r>
    </w:p>
    <w:p>
      <w:pPr>
        <w:numPr>
          <w:ilvl w:val="0"/>
          <w:numId w:val="0"/>
        </w:numPr>
        <w:jc w:val="left"/>
      </w:pPr>
      <w:r>
        <w:t>A late delivery penalty of 2,000 USD per week applies after the delivery date, capped at ten per cent of the total contract value.</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