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pPr>
        <w:rPr>
          <w:lang w:val="en-US" w:eastAsia="en-US" w:bidi="ar-SA"/>
        </w:rPr>
      </w:pPr>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spacing w:before="240" w:after="60"/>
        <w:jc w:val="left"/>
        <w:outlineLvl w:val="0"/>
        <w:rPr>
          <w:rFonts w:ascii="Arial" w:hAnsi="Arial" w:cs="Arial"/>
          <w:b/>
          <w:bCs/>
          <w:kern w:val="28"/>
          <w:sz w:val="32"/>
          <w:szCs w:val="32"/>
          <w:lang w:val="en-US" w:eastAsia="en-US" w:bidi="ar-SA"/>
        </w:rPr>
      </w:pPr>
      <w:r>
        <w:rPr>
          <w:rFonts w:ascii="Arial" w:hAnsi="Arial" w:cs="Arial"/>
          <w:b/>
          <w:bCs/>
          <w:kern w:val="28"/>
          <w:sz w:val="32"/>
          <w:szCs w:val="32"/>
          <w:lang w:val="en-US" w:eastAsia="en-US" w:bidi="ar-SA"/>
        </w:rPr>
        <w:t>Consulting Services Agreement</w:t>
      </w:r>
    </w:p>
    <w:p>
      <w:pPr>
        <w:spacing w:after="60"/>
        <w:jc w:val="left"/>
        <w:outlineLvl w:val="1"/>
        <w:rPr>
          <w:rFonts w:ascii="Arial" w:hAnsi="Arial" w:cs="Arial"/>
          <w:lang w:val="en-US" w:eastAsia="en-US" w:bidi="ar-SA"/>
        </w:rPr>
      </w:pPr>
      <w:r>
        <w:rPr>
          <w:rFonts w:ascii="Arial" w:hAnsi="Arial" w:cs="Arial"/>
          <w:lang w:val="en-US" w:eastAsia="en-US" w:bidi="ar-SA"/>
        </w:rPr>
        <w:t>Cascade Partners and Aldergrove Manufacturing</w:t>
      </w:r>
    </w:p>
    <w:p>
      <w:pPr>
        <w:jc w:val="left"/>
        <w:rPr>
          <w:lang w:val="en-US" w:eastAsia="en-US" w:bidi="ar-SA"/>
        </w:rPr>
      </w:pPr>
      <w:r>
        <w:rPr>
          <w:lang w:val="en-US" w:eastAsia="en-US" w:bidi="ar-SA"/>
        </w:rPr>
        <w:t>This agreement records the terms under which Cascade Partners will deliver the engagement known internally as Project Northlight. It is issued by Dana Whitfield, Engagement Lead, and countersigned by Marcus Oyelaran.</w:t>
      </w:r>
    </w:p>
    <w:p>
      <w:pPr>
        <w:jc w:val="left"/>
        <w:rPr>
          <w:lang w:val="en-US" w:eastAsia="en-US" w:bidi="ar-SA"/>
        </w:rPr>
      </w:pPr>
    </w:p>
    <w:p>
      <w:pPr>
        <w:keepNext/>
        <w:spacing w:before="240" w:after="6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1. Scope of work</w:t>
      </w:r>
    </w:p>
    <w:p>
      <w:pPr>
        <w:jc w:val="left"/>
        <w:rPr>
          <w:lang w:val="en-US" w:eastAsia="en-US" w:bidi="ar-SA"/>
        </w:rPr>
      </w:pPr>
      <w:r>
        <w:rPr>
          <w:lang w:val="en-US" w:eastAsia="en-US" w:bidi="ar-SA"/>
        </w:rPr>
        <w:t>Cascade Partners will review the current order-to-cash process at Aldergrove Manufacturing, identify the constraints limiting throughput, and deliver a prioritised remediation plan with an implementation roadmap.</w:t>
      </w:r>
    </w:p>
    <w:p>
      <w:pPr>
        <w:jc w:val="left"/>
        <w:rPr>
          <w:lang w:val="en-US" w:eastAsia="en-US" w:bidi="ar-SA"/>
        </w:rPr>
      </w:pPr>
      <w:r>
        <w:rPr>
          <w:lang w:val="en-US" w:eastAsia="en-US" w:bidi="ar-SA"/>
        </w:rPr>
        <w:t>The engagement covers the following workstreams:</w:t>
      </w:r>
    </w:p>
    <w:p>
      <w:pPr>
        <w:numPr>
          <w:ilvl w:val="0"/>
          <w:numId w:val="1"/>
        </w:numPr>
        <w:tabs>
          <w:tab w:val="num" w:pos="720"/>
        </w:tabs>
        <w:ind w:left="720" w:hanging="360"/>
        <w:jc w:val="left"/>
        <w:rPr>
          <w:lang w:val="en-US" w:eastAsia="en-US" w:bidi="ar-SA"/>
        </w:rPr>
      </w:pPr>
      <w:r>
        <w:rPr>
          <w:lang w:val="en-US" w:eastAsia="en-US" w:bidi="ar-SA"/>
        </w:rPr>
        <w:t>Process discovery across order intake, fulfilment and invoicing</w:t>
      </w:r>
    </w:p>
    <w:p>
      <w:pPr>
        <w:numPr>
          <w:ilvl w:val="0"/>
          <w:numId w:val="1"/>
        </w:numPr>
        <w:tabs>
          <w:tab w:val="num" w:pos="720"/>
        </w:tabs>
        <w:ind w:left="720" w:hanging="360"/>
        <w:jc w:val="left"/>
        <w:rPr>
          <w:lang w:val="en-US" w:eastAsia="en-US" w:bidi="ar-SA"/>
        </w:rPr>
      </w:pPr>
      <w:r>
        <w:rPr>
          <w:lang w:val="en-US" w:eastAsia="en-US" w:bidi="ar-SA"/>
        </w:rPr>
        <w:t>Data analysis of eighteen months of transaction history</w:t>
      </w:r>
    </w:p>
    <w:p>
      <w:pPr>
        <w:numPr>
          <w:ilvl w:val="0"/>
          <w:numId w:val="1"/>
        </w:numPr>
        <w:tabs>
          <w:tab w:val="num" w:pos="720"/>
        </w:tabs>
        <w:ind w:left="720" w:hanging="360"/>
        <w:jc w:val="left"/>
        <w:rPr>
          <w:lang w:val="en-US" w:eastAsia="en-US" w:bidi="ar-SA"/>
        </w:rPr>
      </w:pPr>
      <w:r>
        <w:rPr>
          <w:lang w:val="en-US" w:eastAsia="en-US" w:bidi="ar-SA"/>
        </w:rPr>
        <w:t>Constraint modelling and options appraisal</w:t>
      </w:r>
    </w:p>
    <w:p>
      <w:pPr>
        <w:numPr>
          <w:ilvl w:val="0"/>
          <w:numId w:val="1"/>
        </w:numPr>
        <w:tabs>
          <w:tab w:val="num" w:pos="720"/>
        </w:tabs>
        <w:ind w:left="720" w:hanging="360"/>
        <w:jc w:val="left"/>
        <w:rPr>
          <w:lang w:val="en-US" w:eastAsia="en-US" w:bidi="ar-SA"/>
        </w:rPr>
      </w:pPr>
      <w:r>
        <w:rPr>
          <w:lang w:val="en-US" w:eastAsia="en-US" w:bidi="ar-SA"/>
        </w:rPr>
        <w:t>A remediation roadmap with sequencing and effort estimates</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2. Schedule</w:t>
      </w:r>
    </w:p>
    <w:p>
      <w:pPr>
        <w:numPr>
          <w:ilvl w:val="0"/>
          <w:numId w:val="0"/>
        </w:numPr>
        <w:ind w:left="0" w:firstLine="0"/>
        <w:jc w:val="left"/>
        <w:rPr>
          <w:lang w:val="en-US" w:eastAsia="en-US" w:bidi="ar-SA"/>
        </w:rPr>
      </w:pPr>
      <w:r>
        <w:rPr>
          <w:lang w:val="en-US" w:eastAsia="en-US" w:bidi="ar-SA"/>
        </w:rPr>
        <w:t>The vendor shall deliver the completed remediation plan by 30 June 2026.</w:t>
      </w:r>
    </w:p>
    <w:p>
      <w:pPr>
        <w:numPr>
          <w:ilvl w:val="0"/>
          <w:numId w:val="0"/>
        </w:numPr>
        <w:ind w:left="0" w:firstLine="0"/>
        <w:jc w:val="left"/>
        <w:rPr>
          <w:lang w:val="en-US" w:eastAsia="en-US" w:bidi="ar-SA"/>
        </w:rPr>
      </w:pPr>
      <w:r>
        <w:rPr>
          <w:lang w:val="en-US" w:eastAsia="en-US" w:bidi="ar-SA"/>
        </w:rPr>
        <w:t>Interim findings will be presented at the end of each workstream. The client will provide feedback within five working days of each presentation.</w:t>
      </w:r>
    </w:p>
    <w:p>
      <w:pPr>
        <w:keepNext/>
        <w:numPr>
          <w:ilvl w:val="0"/>
          <w:numId w:val="0"/>
        </w:numPr>
        <w:spacing w:before="240" w:after="60"/>
        <w:ind w:left="0" w:firstLine="0"/>
        <w:jc w:val="left"/>
        <w:outlineLvl w:val="1"/>
        <w:rPr>
          <w:rFonts w:ascii="Arial" w:hAnsi="Arial" w:cs="Arial"/>
          <w:b/>
          <w:bCs/>
          <w:i/>
          <w:iCs/>
          <w:sz w:val="28"/>
          <w:szCs w:val="28"/>
          <w:lang w:val="en-US" w:eastAsia="en-US" w:bidi="ar-SA"/>
        </w:rPr>
      </w:pPr>
      <w:r>
        <w:rPr>
          <w:rFonts w:ascii="Arial" w:hAnsi="Arial" w:cs="Arial"/>
          <w:b/>
          <w:bCs/>
          <w:i/>
          <w:iCs/>
          <w:sz w:val="28"/>
          <w:szCs w:val="28"/>
          <w:lang w:val="en-US" w:eastAsia="en-US" w:bidi="ar-SA"/>
        </w:rP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ind w:left="0" w:firstLine="0"/>
              <w:jc w:val="left"/>
              <w:rPr>
                <w:b/>
                <w:color w:val="FFFFFF"/>
                <w:lang w:val="en-US" w:eastAsia="en-US" w:bidi="ar-SA"/>
              </w:rPr>
            </w:pPr>
            <w:r>
              <w:rPr>
                <w:b/>
                <w:color w:val="FFFFFF"/>
                <w:lang w:val="en-US" w:eastAsia="en-US" w:bidi="ar-SA"/>
              </w:rPr>
              <w:t>Milestone</w:t>
            </w:r>
          </w:p>
        </w:tc>
        <w:tc>
          <w:tcPr>
            <w:shd w:val="clear" w:color="auto" w:fill="1E6F8B"/>
          </w:tcPr>
          <w:p>
            <w:pPr>
              <w:numPr>
                <w:ilvl w:val="0"/>
                <w:numId w:val="0"/>
              </w:numPr>
              <w:ind w:left="0" w:firstLine="0"/>
              <w:jc w:val="left"/>
              <w:rPr>
                <w:b/>
                <w:color w:val="FFFFFF"/>
                <w:lang w:val="en-US" w:eastAsia="en-US" w:bidi="ar-SA"/>
              </w:rPr>
            </w:pPr>
            <w:r>
              <w:rPr>
                <w:b/>
                <w:color w:val="FFFFFF"/>
                <w:lang w:val="en-US" w:eastAsia="en-US" w:bidi="ar-SA"/>
              </w:rPr>
              <w:t>Owner</w:t>
            </w:r>
          </w:p>
        </w:tc>
        <w:tc>
          <w:tcPr>
            <w:shd w:val="clear" w:color="auto" w:fill="1E6F8B"/>
          </w:tcPr>
          <w:p>
            <w:pPr>
              <w:numPr>
                <w:ilvl w:val="0"/>
                <w:numId w:val="0"/>
              </w:numPr>
              <w:ind w:left="0" w:firstLine="0"/>
              <w:jc w:val="left"/>
              <w:rPr>
                <w:color w:val="000000"/>
                <w:lang w:val="en-US" w:eastAsia="en-US" w:bidi="ar-SA"/>
              </w:rPr>
            </w:pPr>
            <w:r>
              <w:rPr>
                <w:b/>
                <w:color w:val="FFFFFF"/>
                <w:lang w:val="en-US" w:eastAsia="en-US" w:bidi="ar-SA"/>
              </w:rPr>
              <w:t>Workstream</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Discovery complete</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Dana Whitfield</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Process discovery</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Analysis complete</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Marcus Oyelaran</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Data analysis</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Draft roadmap</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Dana Whitfield</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Constraint modelling</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Final plan delivered</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Dana Whitfield</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Remediation roadmap</w:t>
            </w:r>
          </w:p>
        </w:tc>
      </w:tr>
    </w:tbl>
    <w:p>
      <w:pPr>
        <w:numPr>
          <w:ilvl w:val="0"/>
          <w:numId w:val="0"/>
        </w:numPr>
        <w:ind w:left="0" w:firstLine="0"/>
        <w:jc w:val="left"/>
        <w:rPr>
          <w:lang w:val="en-US" w:eastAsia="en-US" w:bidi="ar-SA"/>
        </w:rPr>
      </w:pP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3. Fees</w:t>
      </w:r>
    </w:p>
    <w:p>
      <w:pPr>
        <w:numPr>
          <w:ilvl w:val="0"/>
          <w:numId w:val="0"/>
        </w:numPr>
        <w:ind w:left="0" w:firstLine="0"/>
        <w:jc w:val="left"/>
        <w:rPr>
          <w:lang w:val="en-US" w:eastAsia="en-US" w:bidi="ar-SA"/>
        </w:rPr>
      </w:pPr>
      <w:r>
        <w:rPr>
          <w:lang w:val="en-US" w:eastAsia="en-US" w:bidi="ar-SA"/>
        </w:rPr>
        <w:t>The total contract value is 120,000 USD, payable in three instalments.</w:t>
      </w:r>
    </w:p>
    <w:p>
      <w:pPr>
        <w:numPr>
          <w:ilvl w:val="0"/>
          <w:numId w:val="0"/>
        </w:numPr>
        <w:ind w:left="0" w:firstLine="0"/>
        <w:jc w:val="left"/>
        <w:rPr>
          <w:lang w:val="en-US" w:eastAsia="en-US" w:bidi="ar-SA"/>
        </w:rPr>
      </w:pPr>
      <w:r>
        <w:rPr>
          <w:lang w:val="en-US" w:eastAsia="en-US" w:bidi="ar-SA"/>
        </w:rPr>
        <w:t>Invoices are issued on milestone acceptance and are payable within thirty days. Expenses are billed at cost and require prior written approval.</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4. Change control</w:t>
      </w:r>
    </w:p>
    <w:p>
      <w:pPr>
        <w:numPr>
          <w:ilvl w:val="0"/>
          <w:numId w:val="0"/>
        </w:numPr>
        <w:ind w:left="0" w:firstLine="0"/>
        <w:jc w:val="left"/>
        <w:rPr>
          <w:lang w:val="en-US" w:eastAsia="en-US" w:bidi="ar-SA"/>
        </w:rPr>
      </w:pPr>
      <w:r>
        <w:rPr>
          <w:lang w:val="en-US" w:eastAsia="en-US" w:bidi="ar-SA"/>
        </w:rPr>
        <w:t>Either party may request a change to the scope, schedule or fees. A change takes effect only once both parties have signed a written change note recording its impact on each of the three.</w:t>
      </w:r>
    </w:p>
    <w:p>
      <w:pPr>
        <w:numPr>
          <w:ilvl w:val="0"/>
          <w:numId w:val="0"/>
        </w:numPr>
        <w:ind w:left="0" w:firstLine="0"/>
        <w:jc w:val="left"/>
        <w:rPr>
          <w:lang w:val="en-US" w:eastAsia="en-US" w:bidi="ar-SA"/>
        </w:rPr>
      </w:pPr>
      <w:r>
        <w:rPr>
          <w:lang w:val="en-US" w:eastAsia="en-US" w:bidi="ar-SA"/>
        </w:rPr>
        <w:t>Where a requested change would delay an agreed milestone, the vendor will say so in the change note before the client is asked to approve it.</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5. Intellectual property</w:t>
      </w:r>
    </w:p>
    <w:p>
      <w:pPr>
        <w:numPr>
          <w:ilvl w:val="0"/>
          <w:numId w:val="0"/>
        </w:numPr>
        <w:ind w:left="0" w:firstLine="0"/>
        <w:jc w:val="left"/>
        <w:rPr>
          <w:lang w:val="en-US" w:eastAsia="en-US" w:bidi="ar-SA"/>
        </w:rPr>
      </w:pPr>
      <w:r>
        <w:rPr>
          <w:lang w:val="en-US" w:eastAsia="en-US" w:bidi="ar-SA"/>
        </w:rP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6. Data protection</w:t>
      </w:r>
    </w:p>
    <w:p>
      <w:pPr>
        <w:numPr>
          <w:ilvl w:val="0"/>
          <w:numId w:val="0"/>
        </w:numPr>
        <w:ind w:left="0" w:firstLine="0"/>
        <w:jc w:val="left"/>
        <w:rPr>
          <w:lang w:val="en-US" w:eastAsia="en-US" w:bidi="ar-SA"/>
        </w:rPr>
      </w:pPr>
      <w:r>
        <w:rPr>
          <w:lang w:val="en-US" w:eastAsia="en-US" w:bidi="ar-SA"/>
        </w:rPr>
        <w:t>The vendor processes client data only to the extent needed to deliver the engagement, and only on documented instructions from the client. Personal data encountered during discovery is pseudonymised before analysis.</w:t>
      </w:r>
    </w:p>
    <w:p>
      <w:pPr>
        <w:numPr>
          <w:ilvl w:val="0"/>
          <w:numId w:val="0"/>
        </w:numPr>
        <w:ind w:left="0" w:firstLine="0"/>
        <w:jc w:val="left"/>
        <w:rPr>
          <w:lang w:val="en-US" w:eastAsia="en-US" w:bidi="ar-SA"/>
        </w:rPr>
      </w:pPr>
      <w:r>
        <w:rPr>
          <w:lang w:val="en-US" w:eastAsia="en-US" w:bidi="ar-SA"/>
        </w:rPr>
        <w:t>Transaction records shared for analysis are deleted or returned within thirty days of the final deliverable being accepted.</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7. Confidentiality</w:t>
      </w:r>
    </w:p>
    <w:p>
      <w:pPr>
        <w:numPr>
          <w:ilvl w:val="0"/>
          <w:numId w:val="0"/>
        </w:numPr>
        <w:ind w:left="0" w:firstLine="0"/>
        <w:jc w:val="left"/>
        <w:rPr>
          <w:lang w:val="en-US" w:eastAsia="en-US" w:bidi="ar-SA"/>
        </w:rPr>
      </w:pPr>
      <w:r>
        <w:rPr>
          <w:lang w:val="en-US" w:eastAsia="en-US" w:bidi="ar-SA"/>
        </w:rP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ind w:left="0" w:firstLine="0"/>
        <w:jc w:val="left"/>
        <w:rPr>
          <w:lang w:val="en-US" w:eastAsia="en-US" w:bidi="ar-SA"/>
        </w:rPr>
      </w:pPr>
      <w:r>
        <w:rPr>
          <w:lang w:val="en-US" w:eastAsia="en-US" w:bidi="ar-SA"/>
        </w:rPr>
        <w:t>This clause survives termination of the agreement by five years.</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8. Liability</w:t>
      </w:r>
    </w:p>
    <w:p>
      <w:pPr>
        <w:numPr>
          <w:ilvl w:val="0"/>
          <w:numId w:val="0"/>
        </w:numPr>
        <w:ind w:left="0" w:firstLine="0"/>
        <w:jc w:val="left"/>
        <w:rPr>
          <w:lang w:val="en-US" w:eastAsia="en-US" w:bidi="ar-SA"/>
        </w:rPr>
      </w:pPr>
      <w:r>
        <w:rPr>
          <w:lang w:val="en-US" w:eastAsia="en-US" w:bidi="ar-SA"/>
        </w:rPr>
        <w:t>Neither party excludes liability for death or personal injury caused by negligence, or for fraud. Subject to that, each party's total liability is capped at the total contract value.</w:t>
      </w:r>
    </w:p>
    <w:p>
      <w:pPr>
        <w:numPr>
          <w:ilvl w:val="0"/>
          <w:numId w:val="0"/>
        </w:numPr>
        <w:ind w:left="0" w:firstLine="0"/>
        <w:jc w:val="left"/>
        <w:rPr>
          <w:lang w:val="en-US" w:eastAsia="en-US" w:bidi="ar-SA"/>
        </w:rPr>
      </w:pPr>
      <w:r>
        <w:rPr>
          <w:lang w:val="en-US" w:eastAsia="en-US" w:bidi="ar-SA"/>
        </w:rPr>
        <w:t>Neither party is liable for indirect or consequential loss, including loss of profit, revenue or anticipated savings.</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9. Termination</w:t>
      </w:r>
    </w:p>
    <w:p>
      <w:pPr>
        <w:numPr>
          <w:ilvl w:val="0"/>
          <w:numId w:val="0"/>
        </w:numPr>
        <w:ind w:left="0" w:firstLine="0"/>
        <w:jc w:val="left"/>
        <w:rPr>
          <w:lang w:val="en-US" w:eastAsia="en-US" w:bidi="ar-SA"/>
        </w:rPr>
      </w:pPr>
      <w:r>
        <w:rPr>
          <w:lang w:val="en-US" w:eastAsia="en-US" w:bidi="ar-SA"/>
        </w:rPr>
        <w:t>Either party may terminate on thirty days' written notice. On termination the client pays for work completed and accepted up to the termination date, together with any expenses already committed and not recoverable.</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10. Acceptance</w:t>
      </w:r>
    </w:p>
    <w:p>
      <w:pPr>
        <w:numPr>
          <w:ilvl w:val="0"/>
          <w:numId w:val="0"/>
        </w:numPr>
        <w:ind w:left="0" w:firstLine="0"/>
        <w:jc w:val="left"/>
        <w:rPr>
          <w:lang w:val="en-US" w:eastAsia="en-US" w:bidi="ar-SA"/>
        </w:rPr>
      </w:pPr>
      <w:r>
        <w:rPr>
          <w:lang w:val="en-US" w:eastAsia="en-US" w:bidi="ar-SA"/>
        </w:rPr>
        <w:t>Deliverables are accepted once they pass the acceptance criteria agreed at the start of each workstream. Acceptance will not be unreasonably withheld.</w:t>
      </w:r>
    </w:p>
    <w:p>
      <w:pPr>
        <w:numPr>
          <w:ilvl w:val="0"/>
          <w:numId w:val="0"/>
        </w:numPr>
        <w:ind w:left="0" w:firstLine="0"/>
        <w:jc w:val="left"/>
        <w:rPr>
          <w:lang w:val="en-US" w:eastAsia="en-US" w:bidi="ar-SA"/>
        </w:rPr>
      </w:pPr>
    </w:p>
    <w:p>
      <w:pPr>
        <w:numPr>
          <w:ilvl w:val="0"/>
          <w:numId w:val="0"/>
        </w:numPr>
        <w:ind w:left="0" w:firstLine="0"/>
        <w:jc w:val="left"/>
        <w:rPr>
          <w:lang w:val="en-US" w:eastAsia="en-US" w:bidi="ar-SA"/>
        </w:rPr>
      </w:pPr>
      <w:r>
        <w:rPr>
          <w:lang w:val="en-US" w:eastAsia="en-US" w:bidi="ar-SA"/>
        </w:rPr>
        <w:t>Questions about this agreement should go to hello@cascadepartners.example.</w:t>
      </w:r>
    </w:p>
    <w:p>
      <w:pPr>
        <w:numPr>
          <w:ilvl w:val="0"/>
          <w:numId w:val="0"/>
        </w:numPr>
        <w:ind w:left="0" w:firstLine="0"/>
        <w:jc w:val="left"/>
        <w:rPr>
          <w:lang w:val="en-US" w:eastAsia="en-US" w:bidi="ar-SA"/>
        </w:rPr>
      </w:pPr>
      <w:hyperlink r:id="rId5" w:history="1">
        <w:r>
          <w:rPr>
            <w:color w:val="0000FF"/>
            <w:u w:val="single"/>
            <w:lang w:val="en-US" w:eastAsia="en-US" w:bidi="ar-SA"/>
          </w:rPr>
          <w:t>https://cascadepartners.example</w:t>
        </w:r>
      </w:hyperlink>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11. Signatures</w:t>
      </w:r>
    </w:p>
    <w:p>
      <w:pPr>
        <w:numPr>
          <w:ilvl w:val="0"/>
          <w:numId w:val="0"/>
        </w:numPr>
        <w:ind w:left="0" w:firstLine="0"/>
        <w:jc w:val="left"/>
        <w:rPr>
          <w:lang w:val="en-US" w:eastAsia="en-US" w:bidi="ar-SA"/>
        </w:rPr>
      </w:pPr>
      <w:r>
        <w:rPr>
          <w:lang w:val="en-US" w:eastAsia="en-US" w:bidi="ar-SA"/>
        </w:rPr>
        <w:t>Signed for Cascade Partners: ____________________   Date: ____________</w:t>
      </w:r>
    </w:p>
    <w:p>
      <w:pPr>
        <w:numPr>
          <w:ilvl w:val="0"/>
          <w:numId w:val="0"/>
        </w:numPr>
        <w:ind w:left="0" w:firstLine="0"/>
        <w:jc w:val="left"/>
        <w:rPr>
          <w:lang w:val="en-US" w:eastAsia="en-US" w:bidi="ar-SA"/>
        </w:rPr>
      </w:pPr>
    </w:p>
    <w:p>
      <w:pPr>
        <w:numPr>
          <w:ilvl w:val="0"/>
          <w:numId w:val="0"/>
        </w:numPr>
        <w:ind w:left="0" w:firstLine="0"/>
        <w:jc w:val="left"/>
        <w:rPr>
          <w:lang w:val="en-US" w:eastAsia="en-US" w:bidi="ar-SA"/>
        </w:rPr>
      </w:pPr>
      <w:r>
        <w:rPr>
          <w:lang w:val="en-US" w:eastAsia="en-US" w:bidi="ar-SA"/>
        </w:rPr>
        <w:t>Signed for Aldergrove Manufacturing: ____________________   Date: ____________</w:t>
      </w:r>
    </w:p>
    <w:p>
      <w:pPr>
        <w:numPr>
          <w:ilvl w:val="0"/>
          <w:numId w:val="0"/>
        </w:numPr>
        <w:ind w:left="0" w:firstLine="0"/>
        <w:jc w:val="left"/>
        <w:rPr>
          <w:lang w:val="en-US" w:eastAsia="en-US" w:bidi="ar-SA"/>
        </w:rPr>
        <w:sectPr>
          <w:pgMar w:header="720" w:footer="720"/>
          <w:cols w:space="720"/>
        </w:sectPr>
      </w:pPr>
    </w:p>
    <w:p>
      <w:pPr>
        <w:rPr>
          <w:lang w:val="en-US" w:eastAsia="en-US" w:bidi="ar-SA"/>
        </w:rPr>
      </w:pPr>
      <w:r>
        <w:drawing>
          <wp:inline>
            <wp:extent cx="2159000" cy="647700"/>
            <wp:docPr id="17988577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5779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spacing w:before="240" w:after="60"/>
        <w:jc w:val="left"/>
        <w:outlineLvl w:val="0"/>
        <w:rPr>
          <w:rFonts w:ascii="Arial" w:hAnsi="Arial" w:cs="Arial"/>
          <w:b/>
          <w:bCs/>
          <w:kern w:val="28"/>
          <w:sz w:val="32"/>
          <w:szCs w:val="32"/>
          <w:lang w:val="en-US" w:eastAsia="en-US" w:bidi="ar-SA"/>
        </w:rPr>
      </w:pPr>
      <w:r>
        <w:rPr>
          <w:rFonts w:ascii="Arial" w:hAnsi="Arial" w:cs="Arial"/>
          <w:b/>
          <w:bCs/>
          <w:kern w:val="28"/>
          <w:sz w:val="32"/>
          <w:szCs w:val="32"/>
          <w:lang w:val="en-US" w:eastAsia="en-US" w:bidi="ar-SA"/>
        </w:rPr>
        <w:t>Statement of Work</w:t>
      </w:r>
    </w:p>
    <w:p>
      <w:pPr>
        <w:spacing w:after="60"/>
        <w:jc w:val="left"/>
        <w:outlineLvl w:val="1"/>
        <w:rPr>
          <w:rFonts w:ascii="Arial" w:hAnsi="Arial" w:cs="Arial"/>
          <w:lang w:val="en-US" w:eastAsia="en-US" w:bidi="ar-SA"/>
        </w:rPr>
      </w:pPr>
      <w:r>
        <w:rPr>
          <w:rFonts w:ascii="Arial" w:hAnsi="Arial" w:cs="Arial"/>
          <w:lang w:val="en-US" w:eastAsia="en-US" w:bidi="ar-SA"/>
        </w:rPr>
        <w:t>Appendix A to the Aldergrove Manufacturing agreement</w:t>
      </w:r>
    </w:p>
    <w:p>
      <w:pPr>
        <w:jc w:val="left"/>
        <w:rPr>
          <w:lang w:val="en-US" w:eastAsia="en-US" w:bidi="ar-SA"/>
        </w:rPr>
      </w:pPr>
      <w:r>
        <w:rPr>
          <w:lang w:val="en-US" w:eastAsia="en-US" w:bidi="ar-SA"/>
        </w:rPr>
        <w:t>This statement of work expands the workstreams named in the agreement into concrete activities, owners and outputs. It is intended to be bound to the agreement as an appendix.</w:t>
      </w:r>
    </w:p>
    <w:p>
      <w:pPr>
        <w:keepNext/>
        <w:spacing w:before="240" w:after="6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A.1 Discovery</w:t>
      </w:r>
    </w:p>
    <w:p>
      <w:pPr>
        <w:jc w:val="left"/>
        <w:rPr>
          <w:lang w:val="en-US" w:eastAsia="en-US" w:bidi="ar-SA"/>
        </w:rPr>
      </w:pPr>
      <w:r>
        <w:rPr>
          <w:lang w:val="en-US" w:eastAsia="en-US" w:bidi="ar-SA"/>
        </w:rPr>
        <w:t>Interview process owners across order intake, fulfilment and invoicing. Walk each step, record handoffs, and capture the systems of record involved.</w:t>
      </w:r>
    </w:p>
    <w:p>
      <w:pPr>
        <w:numPr>
          <w:ilvl w:val="0"/>
          <w:numId w:val="2"/>
        </w:numPr>
        <w:tabs>
          <w:tab w:val="num" w:pos="720"/>
        </w:tabs>
        <w:ind w:left="720" w:hanging="360"/>
        <w:jc w:val="left"/>
        <w:rPr>
          <w:lang w:val="en-US" w:eastAsia="en-US" w:bidi="ar-SA"/>
        </w:rPr>
      </w:pPr>
      <w:r>
        <w:rPr>
          <w:lang w:val="en-US" w:eastAsia="en-US" w:bidi="ar-SA"/>
        </w:rPr>
        <w:t>Twelve semi-structured interviews, sixty minutes each</w:t>
      </w:r>
    </w:p>
    <w:p>
      <w:pPr>
        <w:numPr>
          <w:ilvl w:val="0"/>
          <w:numId w:val="2"/>
        </w:numPr>
        <w:tabs>
          <w:tab w:val="num" w:pos="720"/>
        </w:tabs>
        <w:ind w:left="720" w:hanging="360"/>
        <w:jc w:val="left"/>
        <w:rPr>
          <w:lang w:val="en-US" w:eastAsia="en-US" w:bidi="ar-SA"/>
        </w:rPr>
      </w:pPr>
      <w:r>
        <w:rPr>
          <w:lang w:val="en-US" w:eastAsia="en-US" w:bidi="ar-SA"/>
        </w:rPr>
        <w:t>A process map per workstream, validated with the owner</w:t>
      </w:r>
    </w:p>
    <w:p>
      <w:pPr>
        <w:numPr>
          <w:ilvl w:val="0"/>
          <w:numId w:val="2"/>
        </w:numPr>
        <w:tabs>
          <w:tab w:val="num" w:pos="720"/>
        </w:tabs>
        <w:ind w:left="720" w:hanging="360"/>
        <w:jc w:val="left"/>
        <w:rPr>
          <w:lang w:val="en-US" w:eastAsia="en-US" w:bidi="ar-SA"/>
        </w:rPr>
      </w:pPr>
      <w:r>
        <w:rPr>
          <w:lang w:val="en-US" w:eastAsia="en-US" w:bidi="ar-SA"/>
        </w:rPr>
        <w:t>A register of handoffs, wait states and rework loops</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A.2 Analysis</w:t>
      </w:r>
    </w:p>
    <w:p>
      <w:pPr>
        <w:numPr>
          <w:ilvl w:val="0"/>
          <w:numId w:val="0"/>
        </w:numPr>
        <w:ind w:left="0" w:firstLine="0"/>
        <w:jc w:val="left"/>
        <w:rPr>
          <w:lang w:val="en-US" w:eastAsia="en-US" w:bidi="ar-SA"/>
        </w:rPr>
      </w:pPr>
      <w:r>
        <w:rPr>
          <w:lang w:val="en-US" w:eastAsia="en-US" w:bidi="ar-SA"/>
        </w:rPr>
        <w:t>Model throughput against the constraint register and quantify the cost of each wait state. Options are appraised on effort, risk and expected recovery.</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A.3 Roadmap</w:t>
      </w:r>
    </w:p>
    <w:p>
      <w:pPr>
        <w:numPr>
          <w:ilvl w:val="0"/>
          <w:numId w:val="0"/>
        </w:numPr>
        <w:ind w:left="0" w:firstLine="0"/>
        <w:jc w:val="left"/>
        <w:rPr>
          <w:lang w:val="en-US" w:eastAsia="en-US" w:bidi="ar-SA"/>
        </w:rPr>
      </w:pPr>
      <w:r>
        <w:rPr>
          <w:lang w:val="en-US" w:eastAsia="en-US" w:bidi="ar-SA"/>
        </w:rPr>
        <w:t>Sequence the remediations into waves that can be delivered without pausing operations, with effort estimates and a recommended owner for each.</w:t>
      </w:r>
    </w:p>
    <w:p>
      <w:pPr>
        <w:keepNext/>
        <w:numPr>
          <w:ilvl w:val="0"/>
          <w:numId w:val="0"/>
        </w:numPr>
        <w:spacing w:before="240" w:after="60"/>
        <w:ind w:left="0" w:firstLine="0"/>
        <w:jc w:val="left"/>
        <w:outlineLvl w:val="0"/>
        <w:rPr>
          <w:rFonts w:ascii="Arial" w:hAnsi="Arial" w:cs="Arial"/>
          <w:b/>
          <w:bCs/>
          <w:kern w:val="32"/>
          <w:sz w:val="32"/>
          <w:szCs w:val="32"/>
          <w:lang w:val="en-US" w:eastAsia="en-US" w:bidi="ar-SA"/>
        </w:rPr>
      </w:pPr>
      <w:r>
        <w:rPr>
          <w:rFonts w:ascii="Arial" w:hAnsi="Arial" w:cs="Arial"/>
          <w:b/>
          <w:bCs/>
          <w:kern w:val="32"/>
          <w:sz w:val="32"/>
          <w:szCs w:val="32"/>
          <w:lang w:val="en-US" w:eastAsia="en-US" w:bidi="ar-SA"/>
        </w:rPr>
        <w:t>A.4 Deliverables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25"/>
        <w:gridCol w:w="2291"/>
        <w:gridCol w:w="1860"/>
      </w:tblGrid>
      <w:tr>
        <w:tblPrEx>
          <w:tblW w:w="5000" w:type="pct"/>
        </w:tblPrEx>
        <w:tc>
          <w:tcPr>
            <w:shd w:val="clear" w:color="auto" w:fill="1E6F8B"/>
          </w:tcPr>
          <w:p>
            <w:pPr>
              <w:numPr>
                <w:ilvl w:val="0"/>
                <w:numId w:val="0"/>
              </w:numPr>
              <w:ind w:left="0" w:firstLine="0"/>
              <w:jc w:val="left"/>
              <w:rPr>
                <w:b/>
                <w:color w:val="FFFFFF"/>
                <w:lang w:val="en-US" w:eastAsia="en-US" w:bidi="ar-SA"/>
              </w:rPr>
            </w:pPr>
            <w:r>
              <w:rPr>
                <w:b/>
                <w:color w:val="FFFFFF"/>
                <w:lang w:val="en-US" w:eastAsia="en-US" w:bidi="ar-SA"/>
              </w:rPr>
              <w:t>Output</w:t>
            </w:r>
          </w:p>
        </w:tc>
        <w:tc>
          <w:tcPr>
            <w:shd w:val="clear" w:color="auto" w:fill="1E6F8B"/>
          </w:tcPr>
          <w:p>
            <w:pPr>
              <w:numPr>
                <w:ilvl w:val="0"/>
                <w:numId w:val="0"/>
              </w:numPr>
              <w:ind w:left="0" w:firstLine="0"/>
              <w:jc w:val="left"/>
              <w:rPr>
                <w:b/>
                <w:color w:val="FFFFFF"/>
                <w:lang w:val="en-US" w:eastAsia="en-US" w:bidi="ar-SA"/>
              </w:rPr>
            </w:pPr>
            <w:r>
              <w:rPr>
                <w:b/>
                <w:color w:val="FFFFFF"/>
                <w:lang w:val="en-US" w:eastAsia="en-US" w:bidi="ar-SA"/>
              </w:rPr>
              <w:t>Format</w:t>
            </w:r>
          </w:p>
        </w:tc>
        <w:tc>
          <w:tcPr>
            <w:shd w:val="clear" w:color="auto" w:fill="1E6F8B"/>
          </w:tcPr>
          <w:p>
            <w:pPr>
              <w:numPr>
                <w:ilvl w:val="0"/>
                <w:numId w:val="0"/>
              </w:numPr>
              <w:ind w:left="0" w:firstLine="0"/>
              <w:jc w:val="left"/>
              <w:rPr>
                <w:color w:val="000000"/>
                <w:lang w:val="en-US" w:eastAsia="en-US" w:bidi="ar-SA"/>
              </w:rPr>
            </w:pPr>
            <w:r>
              <w:rPr>
                <w:b/>
                <w:color w:val="FFFFFF"/>
                <w:lang w:val="en-US" w:eastAsia="en-US" w:bidi="ar-SA"/>
              </w:rPr>
              <w:t>Wave</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Process maps</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PDF</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1</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Constraint register</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XLSX</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1</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Options appraisal</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DOCX</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2</w:t>
            </w:r>
          </w:p>
        </w:tc>
      </w:tr>
      <w:tr>
        <w:tblPrEx>
          <w:tblW w:w="5000" w:type="pct"/>
        </w:tblPrEx>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Remediation roadmap</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PDF</w:t>
            </w:r>
          </w:p>
        </w:tc>
        <w:tc>
          <w:tcPr>
            <w:shd w:val="clear" w:color="auto" w:fill="auto"/>
          </w:tcPr>
          <w:p>
            <w:pPr>
              <w:numPr>
                <w:ilvl w:val="0"/>
                <w:numId w:val="0"/>
              </w:numPr>
              <w:ind w:left="0" w:firstLine="0"/>
              <w:jc w:val="left"/>
              <w:rPr>
                <w:color w:val="000000"/>
                <w:lang w:val="en-US" w:eastAsia="en-US" w:bidi="ar-SA"/>
              </w:rPr>
            </w:pPr>
            <w:r>
              <w:rPr>
                <w:color w:val="000000"/>
                <w:lang w:val="en-US" w:eastAsia="en-US" w:bidi="ar-SA"/>
              </w:rPr>
              <w:t>3</w:t>
            </w:r>
          </w:p>
        </w:tc>
      </w:tr>
    </w:tbl>
    <w:p>
      <w:pPr>
        <w:numPr>
          <w:ilvl w:val="0"/>
          <w:numId w:val="0"/>
        </w:numPr>
        <w:ind w:left="0" w:firstLine="0"/>
        <w:jc w:val="left"/>
        <w:rPr>
          <w:lang w:val="en-US" w:eastAsia="en-US" w:bidi="ar-SA"/>
        </w:rPr>
      </w:pPr>
    </w:p>
    <w:p>
      <w:pPr>
        <w:numPr>
          <w:ilvl w:val="0"/>
          <w:numId w:val="0"/>
        </w:numPr>
        <w:ind w:left="0" w:firstLine="0"/>
        <w:jc w:val="left"/>
        <w:rPr>
          <w:lang w:val="en-US" w:eastAsia="en-US" w:bidi="ar-SA"/>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501F66A2"/>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lang w:val="en-US" w:eastAsia="en-US" w:bidi="ar-SA"/>
    </w:rPr>
  </w:style>
  <w:style w:type="paragraph" w:styleId="Subtitle">
    <w:name w:val="Subtitle"/>
    <w:basedOn w:val="Normal"/>
    <w:qFormat/>
    <w:rsid w:val="00EF7B96"/>
    <w:pPr>
      <w:spacing w:after="60"/>
      <w:jc w:val="center"/>
      <w:outlineLvl w:val="1"/>
    </w:pPr>
    <w:rPr>
      <w:rFonts w:ascii="Arial" w:hAnsi="Arial" w:cs="Arial"/>
      <w:lang w:val="en-US" w:eastAsia="en-US" w:bidi="ar-SA"/>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