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3.0 -->
  <w:body>
    <w:p>
      <w:pPr>
        <w:rPr>
          <w:rStyle w:val="Hyperlink"/>
          <w:b/>
        </w:rPr>
      </w:pPr>
      <w:r>
        <w:rPr>
          <w:b/>
          <w:color w:val="FF0000"/>
          <w:sz w:val="24"/>
        </w:rPr>
        <w:t xml:space="preserve">Created with an evaluation copy of Aspose.Words. To remove all limitations, you can use Free Temporary License </w:t>
      </w:r>
      <w:hyperlink r:id="rId5" w:history="1">
        <w:r>
          <w:rPr>
            <w:rStyle w:val="Hyperlink"/>
            <w:b/>
          </w:rPr>
          <w:t>https://products.aspose.com/words/temporary-license/</w:t>
        </w:r>
      </w:hyperlink>
    </w:p>
    <w:p>
      <w:pPr>
        <w:pStyle w:val="Heading1"/>
      </w:pPr>
      <w:r>
        <w:t xml:space="preserve">Invoice for </w:t>
      </w:r>
      <w:r>
        <w:t>Northwind Traders</w:t>
      </w:r>
    </w:p>
    <w:p>
      <w:r>
        <w:t xml:space="preserve">Date: </w:t>
      </w:r>
      <w:r>
        <w:t>2026-09-30</w:t>
      </w:r>
    </w:p>
    <w:tbl>
      <w:tblPr>
        <w:tblStyle w:val="TableGrid"/>
        <w:tblW w:w="0" w:type="auto"/>
        <w:tblLook w:val="04A0"/>
      </w:tblPr>
      <w:tblGrid>
        <w:gridCol w:w="2880"/>
        <w:gridCol w:w="2880"/>
        <w:gridCol w:w="2880"/>
      </w:tblGrid>
      <w:tr>
        <w:tblPrEx>
          <w:tblW w:w="0" w:type="auto"/>
          <w:tblLook w:val="04A0"/>
        </w:tblPrEx>
        <w:tc>
          <w:tcPr>
            <w:tcW w:w="2880" w:type="dxa"/>
          </w:tcPr>
          <w:p>
            <w:r>
              <w:t>Product</w:t>
            </w:r>
          </w:p>
        </w:tc>
        <w:tc>
          <w:tcPr>
            <w:tcW w:w="2880" w:type="dxa"/>
          </w:tcPr>
          <w:p>
            <w:r>
              <w:t>Quantity</w:t>
            </w:r>
          </w:p>
        </w:tc>
        <w:tc>
          <w:tcPr>
            <w:tcW w:w="2880" w:type="dxa"/>
          </w:tcPr>
          <w:p>
            <w:r>
              <w:t>Amount</w:t>
            </w:r>
          </w:p>
        </w:tc>
      </w:tr>
      <w:tr>
        <w:tblPrEx>
          <w:tblW w:w="0" w:type="auto"/>
          <w:tblLook w:val="04A0"/>
        </w:tblPrEx>
        <w:tc>
          <w:tcPr>
            <w:tcW w:w="2880" w:type="dxa"/>
          </w:tcPr>
          <w:p>
            <w:r>
              <w:t>Laptop</w:t>
            </w:r>
          </w:p>
        </w:tc>
        <w:tc>
          <w:tcPr>
            <w:tcW w:w="2880" w:type="dxa"/>
          </w:tcPr>
          <w:p>
            <w:r>
              <w:t>2</w:t>
            </w:r>
          </w:p>
        </w:tc>
        <w:tc>
          <w:tcPr>
            <w:tcW w:w="2880" w:type="dxa"/>
          </w:tcPr>
          <w:p>
            <w:r>
              <w:t>2501,00</w:t>
            </w:r>
          </w:p>
        </w:tc>
      </w:tr>
      <w:tr>
        <w:tblPrEx>
          <w:tblW w:w="0" w:type="auto"/>
          <w:tblLook w:val="04A0"/>
        </w:tblPrEx>
        <w:tc>
          <w:tcPr>
            <w:tcW w:w="2880" w:type="dxa"/>
          </w:tcPr>
          <w:p>
            <w:r>
              <w:t>Monitor</w:t>
            </w:r>
          </w:p>
        </w:tc>
        <w:tc>
          <w:tcPr>
            <w:tcW w:w="2880" w:type="dxa"/>
          </w:tcPr>
          <w:p>
            <w:r>
              <w:t>3</w:t>
            </w:r>
          </w:p>
        </w:tc>
        <w:tc>
          <w:tcPr>
            <w:tcW w:w="2880" w:type="dxa"/>
          </w:tcPr>
          <w:p>
            <w:r>
              <w:t>930,00</w:t>
            </w:r>
          </w:p>
        </w:tc>
      </w:tr>
      <w:tr>
        <w:tblPrEx>
          <w:tblW w:w="0" w:type="auto"/>
          <w:tblLook w:val="04A0"/>
        </w:tblPrEx>
        <w:tc>
          <w:tcPr>
            <w:tcW w:w="2880" w:type="dxa"/>
          </w:tcPr>
          <w:p>
            <w:r>
              <w:t>Keyboard</w:t>
            </w:r>
          </w:p>
        </w:tc>
        <w:tc>
          <w:tcPr>
            <w:tcW w:w="2880" w:type="dxa"/>
          </w:tcPr>
          <w:p>
            <w:r>
              <w:t>5</w:t>
            </w:r>
          </w:p>
        </w:tc>
        <w:tc>
          <w:tcPr>
            <w:tcW w:w="2880" w:type="dxa"/>
          </w:tcPr>
          <w:p>
            <w:r>
              <w:t>229,95</w:t>
            </w:r>
          </w:p>
        </w:tc>
      </w:tr>
      <w:tr>
        <w:tblPrEx>
          <w:tblW w:w="0" w:type="auto"/>
          <w:tblLook w:val="04A0"/>
        </w:tblPrEx>
        <w:tc>
          <w:tcPr>
            <w:tcW w:w="2880" w:type="dxa"/>
          </w:tcPr>
          <w:p>
            <w:r>
              <w:t>Total</w:t>
            </w:r>
          </w:p>
        </w:tc>
        <w:tc>
          <w:tcPr>
            <w:tcW w:w="2880" w:type="dxa"/>
          </w:tcPr>
          <w:p/>
        </w:tc>
        <w:tc>
          <w:tcPr>
            <w:tcW w:w="2880" w:type="dxa"/>
          </w:tcPr>
          <w:p>
            <w:r>
              <w:t>3660,95</w:t>
            </w:r>
          </w:p>
        </w:tc>
      </w:tr>
    </w:tbl>
    <w:p/>
    <w:sectPr w:rsidSect="00034616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rPr>
        <w:b/>
        <w:color w:val="FF0000"/>
        <w:sz w:val="24"/>
      </w:rPr>
      <w:t>Evaluation Only. Created with Aspose.Words. Copyright 2003-2026 Aspose Pty Ltd.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drawing>
        <wp:anchor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6400" cy="2981739"/>
          <wp:wrapNone/>
          <wp:docPr id="10000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29817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roducts.aspose.com/words/temporary-license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